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lang w:val="x-non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Тест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: "43.00.00 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Сервис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и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туризм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".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ИТ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Какое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перечисленных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относится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электронным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таблицам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Basic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Excel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Access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Word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Символ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вводимый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наборе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отображается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экране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дисплея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позиции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определяемой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задаваемыми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координатами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курсора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адресом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предыдущей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набранной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буквы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Назначением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графических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редакторов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является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графических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изображений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графического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анимационных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изображений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мультипликации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текстовой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Ит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ЭВМ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используется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счисления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Чтобы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автоматически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оглавление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текстовому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каждого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заголовка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тексте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настроить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Текстовые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процессоры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относятся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программному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обеспечению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ИТ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Сопоставьте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пароли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описание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Известные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наборы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цифр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QWERTY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Распростр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анённые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клавиатуре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BOSS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Словарные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слова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stopstop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оставленные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слов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911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Сопоставьте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понятия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биты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Октет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8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бит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пиксели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Еди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ница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измерения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частоты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герцы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Единица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измерения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двоичной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системе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счисления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байты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матрицы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дисплеев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формирующих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изображение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ИТ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Расположите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хронологическом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эволюцию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носител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информации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бумажные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носители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информации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магнитные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диски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флеш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память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оптические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накопители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Расположите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единицы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измерения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наименьшей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наибольшей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байт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бит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мегабайт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терабайт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СК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станд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сертиф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латыни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означает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сертификация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сделать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точность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аккуратность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Метрология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наука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решающая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техническому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уровню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сырья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полуфабрикатов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комплектующих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изделий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другим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нормативным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применяемым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сертификации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унифицированных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кодирования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технико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измерений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точности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измерений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измерений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единообразия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измерений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верховным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СТАКО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Генеральная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ассамблея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КАСКО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ПЛАКО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СК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станд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сертиф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__________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____________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установлению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рактеристик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целях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добровольного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многократного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направленная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достижение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упорядоченности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сферах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услуг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сертификации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юр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идическое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лицо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аккредитованные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индивидуальном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_______________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СК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станд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сертиф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перечисленные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реквизиты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герб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Герб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КПП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Найдите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группой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функцией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документа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правовая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деятельности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коммуникативная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информацией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политическая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письменное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доказательство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касается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</w:t>
      </w:r>
      <w:r>
        <w:rPr>
          <w:rFonts w:ascii="Arial" w:hAnsi="Arial" w:cs="Arial"/>
          <w:color w:val="808080"/>
          <w:sz w:val="20"/>
          <w:szCs w:val="20"/>
          <w:lang w:val="x-none"/>
        </w:rPr>
        <w:t>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СК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станд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сертиф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Расположите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эталоны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порядку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поверочной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схемой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разряда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разряда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арственный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эталон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копия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Расположите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обязательные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структурные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элементы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стандарта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рекомендуемые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Область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применения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ормативные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Нормативные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ссылки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Охрана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труда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расследованию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гибели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результате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работников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расследовании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тяжелого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смертельным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исходом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групповом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числом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погибших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пять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пострадало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возможными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тяжелым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инвалидным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исходом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запрещается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возрасте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18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вредными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опасными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условиями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подземных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работах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сверхурочных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ночных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вышеназванных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дисциплинарных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взысканий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Трудовым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кодексом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Замеча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понижение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занимаемой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увольнение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Замечание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нижеоплачиваемую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увольнение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Замечание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увольнение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увольнение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Охрана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труда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</w:t>
      </w:r>
      <w:r>
        <w:rPr>
          <w:rFonts w:ascii="Arial" w:hAnsi="Arial" w:cs="Arial"/>
          <w:b/>
          <w:bCs/>
          <w:sz w:val="20"/>
          <w:szCs w:val="20"/>
          <w:lang w:val="x-none"/>
        </w:rPr>
        <w:t>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-1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оформляется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экземплярах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произошел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работником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Вредные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относятся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факторам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Трудовому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Кодексу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обеденного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перерыва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минут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Охрана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труда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объектами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огнетушителями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используемыми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тушения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пенные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лесного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пожара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водяные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горячих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трубопроводов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оборудования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порошковые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аппаратуры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углекислотные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твердых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вещест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Установить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последствиями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условиями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создающими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опасность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влажность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короткое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замыкание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электропроводки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выше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+40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пожар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затенённость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трав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загазованность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взрыв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Охрана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труда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Расположите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защитных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сооружений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возрастанию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надежности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ямы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противорадиационные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укрытия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канавы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подвалы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зданий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lastRenderedPageBreak/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ударе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электрическим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током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установить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степень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поражения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тока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отключение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напряжения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оказать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первую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помощь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Экономика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и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право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«валовая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выручку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денежное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выражение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товаров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выручкой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продаж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себестоимостью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товарной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прочей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доходы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внереализационных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убытки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внереализационных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операций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выручку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вычетом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акцизов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выручкой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продаж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себестоимостью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проданной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родаж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сальдо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внереализационных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доходов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расходов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коммерческими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расходами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выручкой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акцизами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Некоммерческие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главной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учредителями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удовлетворение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материальных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духовных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нематериальных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 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лаготворительные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полезные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удовлетворение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материальных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потребностей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Экономика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и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право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перенесения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себестоимость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отовляемой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фондов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___________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выручки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средней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Признаком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банкротства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неисполнение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денежных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обязательств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месяцев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Экономика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и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право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производства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Деньги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Рубль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Сырье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Нефть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Товар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Бензин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Производство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Переработка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Сопоставьте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собственников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собственности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Государственная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железные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дороги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Муниципальная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транспорт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Частная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кооперативный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магазин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долевая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собственники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квартир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многоквартирного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дома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Экономика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и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право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Сформируйте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правильную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оборачиваемости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оборотных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дство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Сырье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Товар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эволюции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денег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появления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Металлические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деньги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Бумажные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деньги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Натуральные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деньги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ектронные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деньги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Оборудование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материалы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инструменты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проверки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денежных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купюр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подсчета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счетчик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банкнот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кассовый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аппарат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POS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терминал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снабжен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компьютерный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кассовый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аппарат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снабжен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распечатывания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чеков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тарифов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снабжён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сканирования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кредитных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снабжен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сканером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ключей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служит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телетайп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райтер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ключей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фиксации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телефонных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разговоров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просмотра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видеонаблюдения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Оборудо</w:t>
      </w:r>
      <w:r>
        <w:rPr>
          <w:rFonts w:ascii="Arial" w:hAnsi="Arial" w:cs="Arial"/>
          <w:b/>
          <w:bCs/>
          <w:sz w:val="20"/>
          <w:szCs w:val="20"/>
          <w:lang w:val="x-none"/>
        </w:rPr>
        <w:t>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материалы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инструменты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платежных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принимающее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чипом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магнитной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полосой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бесконтактные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состоящая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передающих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сигнал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вызывного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блока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переговорному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ключей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туриндустрии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Обору</w:t>
      </w:r>
      <w:r>
        <w:rPr>
          <w:rFonts w:ascii="Arial" w:hAnsi="Arial" w:cs="Arial"/>
          <w:b/>
          <w:bCs/>
          <w:sz w:val="20"/>
          <w:szCs w:val="20"/>
          <w:lang w:val="x-none"/>
        </w:rPr>
        <w:t>дование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материалы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инструменты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Ваучер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каталог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программно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аппаратный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кассира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платеж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клиентов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Специальный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сканер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аппарат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фиксации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дальних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телефонных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разговоров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Телетайпрайтер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хранения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счетов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клиентов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цифровом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порядке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POS-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терминал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аппарат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считывания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кредитной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карты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владель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ца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авторизирует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путем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передачи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данных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авторизации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кредитных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распечатывает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ваучере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кредитной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карты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дату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владельца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Факсимильный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аппарат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печати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требует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Принтер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автономное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позволяет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копировать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информацию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Копир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позволяющий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переводить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бумажный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формат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Сканер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аппарат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передачи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листе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формате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Оборудование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материалы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инструменты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POS-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терминалом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совершении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оплаты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Выбрать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списка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доступных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покупки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клиенту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клавиатуру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магнитной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полосой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считыватель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терминала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вставить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чипом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вверх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терминала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Связь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терминала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банком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заблокирована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она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Печатание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чеков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сумму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покупки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переводу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звонка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Попросить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звонящего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подождать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уточнения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клавишу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Hold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Попросить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звонящего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подождать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уточнения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набрать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внутренний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сотрудника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Уточнить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может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вызов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Переключиться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звонящего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сообщить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звонящему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звонок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будет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переведен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МЕНЕДЖМЕНТ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МАРКЕТИНГ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Стратегическое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Тактическое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Оперативное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факторам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внешней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косвенного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относится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Социо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Поставщики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Конкуренты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структуры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разделении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численности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сотрудников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Линейная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Линейно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функциональная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Матричная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54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носят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устойчивых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объективных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существенных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необходимых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повторяющихся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...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принципы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законы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55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сделать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менеджер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чтобы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обусловленные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занимаемой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...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делегирование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полномочий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56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социометрия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Административные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психологические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57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компромисса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разрешении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конфликта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характеризуется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Выходом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конфликтной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избеганием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разногласий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Отстаиванием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зрения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уступками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проблемы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58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относятся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совещания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подготовка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проведение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итогов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присущи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едующие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Поставщики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материальных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финансовых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ресурсов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Конкуренты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Профсоюзы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2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внутренняя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внешняя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структура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изображена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схеме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20540" cy="15849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матричная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линейная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штабная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функциональная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Лидерство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победу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конфликте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заработной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руководителя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способность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оказывать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влияние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людей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сайта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турфирмы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...... 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продажи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имиджа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кидках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обработку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выработку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рекомендаций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анели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маркетинговые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гипотезы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выборочное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исследование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64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Критерием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выступает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доход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прибыль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заработная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уплачиваемые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65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Информационный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стресс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возникает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ситуациях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житейских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неурядиц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негативной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справляется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обрушивающимися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потоками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негативной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66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регламентирующий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полномочия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...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должностная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инструкция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найма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руководства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приказ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МЕНЕДЖМЕНТ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МАРКЕТИНГ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67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Файоль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основателем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68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Взыскание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____________ - ______________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69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иерархической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структуре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преобладают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соблюдается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принцип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единоначалия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70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Поставщики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относятся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элементам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71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Иерархическая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относится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теориям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мотивации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72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подчиненными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принятии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характеризуют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73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распорядительные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зируются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______________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мотивации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Предметом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менеджера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Перечислите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строгой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___________ 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Внешняя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характеризуется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сложностью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__________________,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неопределенностью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77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Сопоставление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запланированным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78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маркетинга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связанная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повышенной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риска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маркетинг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79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бренда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брендом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странах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регионах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80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Молодежный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охватывает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сегмент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ab/>
              <w:t xml:space="preserve">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лет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81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сбыта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основанная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изучении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рынка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товарах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82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мотивация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стимулирования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отдельного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исполнителя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людей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направленный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достижение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продуктивному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выполнению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принятых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намеченных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работ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МЕНЕДЖМЕНТ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МАРКЕТИНГ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83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положениями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теорий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мотивации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авторами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Существуют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две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большие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lastRenderedPageBreak/>
              <w:t>потребностей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гигиенические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факторы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мотивирующие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факторы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Гигиенические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факторы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связаны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средой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которой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мотивирую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щие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характером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работы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Клеланд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выделить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пять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Следующая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иерархии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удовлетворяется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того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удовлетворена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предыдущего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уровня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Герцберг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Ведущими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являются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потреб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высших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уровней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стремление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 </w:t>
            </w:r>
            <w:hyperlink r:id="rId6" w:tooltip="Власть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x-none"/>
                </w:rPr>
                <w:t>власти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успеху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причастности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признанию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)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Маслоу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84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идами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харизме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силе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личных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лидера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экспертная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власть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Подчинённый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принимает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профессионализм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менеджера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основанная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граждении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возможно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обладает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достаточными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ресурсами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эталонная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власть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85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конфликте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бывает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конфликта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существенного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готовы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избежать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чтобы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сохранить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сотрудничество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Характеризуется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высоким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ориентации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собственные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интересы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сопер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подход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базируется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удовлетворении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обеих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сохранении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межличностных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компромисс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конфликтующих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удовлетворения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сполна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каждый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вынужден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поступиться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интересами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вроде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сохранены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!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избегание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86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Деловое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взаимосвязи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людьми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совпадающие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противоположные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интересы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Переговоры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происходит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обмен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подчиненными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принимаются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Совещание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людей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путем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информацией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фазами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содержанием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одготовки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заданий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принятия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уяснение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исходной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постановка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вариантов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решения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выполнения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предлагаемых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вариан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варианта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проявления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удовлетворения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Физио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необходимым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другим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людям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«включенным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коллектив»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безопасности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неповторимой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одновременно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сложной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личности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самоуважение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уверенность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ремление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уважении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защита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опасностей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пожаров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несчастных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случаев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самовыражении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пище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одежде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укрытии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89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присущими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характеристиками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Авторитарный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эгоистичный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Демократический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добросердечный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Либеральный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агрессивный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90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признаками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сегментации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критериями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Географический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доходов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Демографический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плотность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административное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критерий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индивидуума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</w:p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Психографический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семьи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91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способами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рекламы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Зритель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телереклама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Слуховая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ароматизированная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листовка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Зрительно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обонятельная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радио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Зрительно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слуховая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витрина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МЕНЕДЖМЕНТ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x-none"/>
        </w:rPr>
        <w:t>МАРКЕТИНГ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иерархии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Маслоу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защищенности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Физиологические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принадлежности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самовыражении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уважении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Мескон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8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слабых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сторон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Формулировка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целей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миссии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альтернатив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7)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8)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внешней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94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совещания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Проведение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итогов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Подготовка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95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Мотивация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Планирование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96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«Мозгового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штурма»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идей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Группировка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отбор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Генерация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идей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Постановка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проблемы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97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Сравнение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показателей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установленными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отклонений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Измерение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фактически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достигнутых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зультатов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98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исследований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результатов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исследования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кампании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кампании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ламной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кампании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Ситуационный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Коррекция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кампании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рекламной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кампании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Стратегическое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планирование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концепцией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Мескона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реализуются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следующем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порядке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Мотивация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Планирование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ОБСЛУЖИВАНИЕ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ТУРИСТОВ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ПРЕДПРИЯТИЯХ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ГОСТИНИЧНОГО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СЕРВИСА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закрытая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свидетельствует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граж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данина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пребывания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паспорт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виза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миграционная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прибытии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определяющие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отеле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приезда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отъезда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взрослые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фирмы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приезда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фирмы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риезда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Заявка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резервирование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следующие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сведения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фамилии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приезжающих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фамилии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приезжающих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фамилии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приезжающих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фамилии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приезжающих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104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расчетный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10:00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текущих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текущих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текущих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16:00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текущих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105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выдается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предъявлении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гостем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паспорта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уведомления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прибытии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иностранного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гражданина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заявки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106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сятся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следующие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«Улыбайтесь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улыбнуться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ответ»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«Принимайте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чаевые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осознанием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доволен»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«Тщательность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суеты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вызывают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доверие»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приёме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клиентов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авилам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выписке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клиентов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отъезде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клиента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гостеприимства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107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оплаты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трансфер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побудка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дополнительный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белья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room-service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108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Выберите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предложенных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завтрак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Яичница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беконом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кофе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тосты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джем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свежевыжатый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апельсиновый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сок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Омлет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кофе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джем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булочки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кусок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мясного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пирога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свежевыжатый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апельсиновый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фрукты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Сыр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йогурт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кофе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булочка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джем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минеральная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Блины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лососем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кофе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горячий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шоколад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джем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масло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булочки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свежевыжатый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апельсино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сок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таймшера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уровню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предоставляемых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сезонности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местоположению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гар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антированном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нужная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депозита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внесена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назначенной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переводит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разряд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негарантированной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отменяет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ничего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делает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занести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клиента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«черный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список»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111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Аббревиатура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принятая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гостиничном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бизнесе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RB ( Room booked)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означает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отменяемых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момент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забронированных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забронированных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простаивающих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неявки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среднестатистический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допустимых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перебронирований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apartament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собой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роскошные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состоят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нескольких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спален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кабинета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туалетов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приближенные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современных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квартир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(2-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семейная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больше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стандартной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двухместный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ляемых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может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быть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Европейская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114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индустрии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горнолыжных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пляжей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начиная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осуществлять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хранение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сейфе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115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индустрии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горнолыжных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пляжей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начиная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предоставлять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рум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сервис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116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Каким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произведена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аннуляция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сделанная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турагентом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устно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письменно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телефону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любой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ОБСЛУЖИВАНИЕ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ТУРИСТОВ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ПРЕДПРИЯТИЯХ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ГОСТИНИЧНОГО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СЕРВИСА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открытая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форма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117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резервирование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специально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регистрируем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подтверждением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гарантирует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клиенту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заказанного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необходимое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118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Результатом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исполнителем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удовлетворению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119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_________  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обозначается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аббревиатурой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FB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Заполните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пропуски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[            ]  [              ]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120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предлагается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следующий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блюд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яичница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беконом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маринованный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огурчи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свежий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помидор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апельсиновый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кофе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121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Совмещенные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дверь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другой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называются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  _________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английском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Заполните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пропуски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[                  ]  [        ]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122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иностранного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транзитный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проезд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территорию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123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занимаются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124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соответствующим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125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«Швейцара»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предоставляются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начиная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126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Ежедневная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белья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должна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осуществляться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127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курорте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оздоровительного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факторов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128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Нестабильность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продукт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зависит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сезонных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колебаний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129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распространенная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мире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130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обозначается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аббревиатурой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DT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131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Перевоз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прибытия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вокзала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аэропорта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коттеджа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_________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9833"/>
      </w:tblGrid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132</w:t>
            </w:r>
          </w:p>
        </w:tc>
      </w:tr>
      <w:tr w:rsidR="00000000">
        <w:tc>
          <w:tcPr>
            <w:tcW w:w="2121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"_________"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обозначается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аббревиатурой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OC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ОБСЛУЖИВАНИЕ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ТУРИСТОВ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ПРЕДПРИЯТИЯХ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ГОСТИНИЧНОГО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СЕРВИСА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соотве</w:t>
      </w:r>
      <w:r>
        <w:rPr>
          <w:rFonts w:ascii="Arial" w:hAnsi="Arial" w:cs="Arial"/>
          <w:b/>
          <w:bCs/>
          <w:sz w:val="20"/>
          <w:szCs w:val="20"/>
          <w:lang w:val="x-none"/>
        </w:rPr>
        <w:t>тствие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133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экспертной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содержанием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11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2014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1215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горнолыжные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пляжи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осуществляемой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аккредитованными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организациями»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проводится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проводится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балльная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проводится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Четвертый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проводится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балльная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134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11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2014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1215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индустрии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включающих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горнолыжные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пляжи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осуществляемой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аккредитованными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организациями»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75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состоящий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жилых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кабинета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нестандартной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широкой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двуспальной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кроватью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(200 x 200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дополнительным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гостевым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туалетом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сюит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40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состоящий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ухонным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уголком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джуниор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сюит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"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состоящий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жилой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двумя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кроватями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неполным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санузлом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умывальник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унитаз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санузел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блоке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рассчитанный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еловек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вторая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однокомнатный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25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рассчитанный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планировкой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позволяющей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кабинета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135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стейкхолдерами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окружающими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туристскую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фирму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входят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группы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Финансовые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круги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союзы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ассоц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выступающее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организованной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курортной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зоны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массовой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персонал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фирмы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Общественность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телевидение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среда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Внут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ренние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стейкхолдеры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банки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инвестиционные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фонды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финансовые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страховые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инвесторы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136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определений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наследия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обладающие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историко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архитектурной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научной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мемориальной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особое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образования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наследия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обладающие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историко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архитектурной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научной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мемориальной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особое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археологического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наследия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наследия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обладающие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историко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архитектурной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научной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мемориальной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особое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137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понятий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определений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Лечебно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оздоровительные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курорты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уникальные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невосполнимые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экологическом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научном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культурном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эстетическом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комплексы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естественного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искусственного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происхождения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Памятники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акватории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особое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сохранения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восстановления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комплексов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компонентов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поддержания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баланса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Дендрологические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парки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ботанические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сады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акватори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пригодные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профилактики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заболеваний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обладающие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лечебными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ресурсами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заказники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природоохранные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входит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специальных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екций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растений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сохранения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разнообразия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обогащения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растительного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научной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просветительской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деятельности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138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квоте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туроператом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туроператора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квоте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гарантией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заполнения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30-80%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туроператор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старается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владельцем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максимально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возможном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снижении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квоте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гарантии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заполнения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таком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варианте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взаимоотношений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действуют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обычные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тарифы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гостиничные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разовые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заявки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стандартной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твердой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закупке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оплатой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расчет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идет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обычным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тарифам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Договором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текущем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бронировании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будут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обычные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тарифы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139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турпродукта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люкс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4 - 5 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бизнес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хорошая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кухня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трансфер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5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звезд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роскошных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внекатегорийных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автомобилях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люкс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1-2 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чартерным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рейсом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общественном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транспорте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2 - 3 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ерелет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экономклассом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групповой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трансфер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140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типом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Ресторан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предоставляющее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ограниченный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блюд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напитков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кондитерских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изделий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сочетании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отдыхом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развлечениями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Бар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быстрого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посетителей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стойкой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наряду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столиками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Буфет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предоставляющее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гостям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широкий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блюд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напитков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кондитерских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изделий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фирменных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сложного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приготовления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Кафе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производит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продажу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потреблением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ограниченного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ассортимента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холодных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закусок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бутербродов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напитков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булочных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кондитерских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изделий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сладких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блюд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несложного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приготовления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4"/>
        <w:gridCol w:w="4542"/>
        <w:gridCol w:w="375"/>
        <w:gridCol w:w="4542"/>
      </w:tblGrid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141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определением</w:t>
            </w:r>
          </w:p>
        </w:tc>
      </w:tr>
      <w:tr w:rsidR="00000000">
        <w:tc>
          <w:tcPr>
            <w:tcW w:w="21216" w:type="dxa"/>
            <w:gridSpan w:val="4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соответствие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для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парт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одновременно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выбора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Табльдот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делают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меню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карт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предварительно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сделав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обслуживаются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установленный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промежуток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Шведский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стол</w:t>
            </w:r>
          </w:p>
        </w:tc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997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блюда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расставляются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столах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раздачи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самостоятел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ьно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ограничений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накладывают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тарелки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color w:val="808080"/>
          <w:sz w:val="20"/>
          <w:szCs w:val="20"/>
          <w:lang w:val="x-none"/>
        </w:rPr>
        <w:t>Группа</w:t>
      </w:r>
      <w:r>
        <w:rPr>
          <w:rFonts w:ascii="Arial" w:hAnsi="Arial" w:cs="Arial"/>
          <w:color w:val="808080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x-none"/>
        </w:rPr>
        <w:t>ОБСЛУЖИВАНИЕ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ТУРИСТОВ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НА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ПРЕДПРИЯТИЯХ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ГОСТИНИЧНОГО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СЕРВИСА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последовательность</w:t>
      </w:r>
    </w:p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142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гостей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прибытии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Выписка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143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впервые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отеле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подписать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приветствует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Находит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списке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Спрашивает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ваучер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Подтверждает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детали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бронирования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144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зависимости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турпродукта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люкс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145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убывания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зависимости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класса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люкс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146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турфирмой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выполнения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Произвести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банковским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переводом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гарантийное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письмо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заявку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почте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подтверждение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заявки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факсом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почте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Уточнить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тариф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питание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Получить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аванс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полную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потребителя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свободных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нужные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даты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147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взаимоотношений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турфирмой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гостиничным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предприятием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Технологические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бронированию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рынка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услуг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имоотношений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взаиморасчетов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соглашения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сотрудничестве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Периодический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совместной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туристический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экономический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148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уборки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номера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узел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Коридор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149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начинается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уборка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комнаты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3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Открываются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окна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белья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Вытирание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пыли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9454"/>
      </w:tblGrid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150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Установите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сервировки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стола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</w:tc>
      </w:tr>
      <w:tr w:rsidR="00000000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Укажите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порядок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следования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всех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4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скатерть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тарелки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приборы</w:t>
            </w:r>
          </w:p>
        </w:tc>
      </w:tr>
      <w:tr w:rsidR="00000000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2058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000000" w:rsidRDefault="00A22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салфетки</w:t>
            </w:r>
          </w:p>
        </w:tc>
      </w:tr>
    </w:tbl>
    <w:p w:rsidR="00000000" w:rsidRDefault="00A22D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20"/>
    <w:rsid w:val="00A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college/ekonomika-firmy/vlas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Торишный Олег Анатольевич</dc:creator>
  <cp:lastModifiedBy>Торишный Олег Анатольевич</cp:lastModifiedBy>
  <cp:revision>2</cp:revision>
  <dcterms:created xsi:type="dcterms:W3CDTF">2018-02-22T08:47:00Z</dcterms:created>
  <dcterms:modified xsi:type="dcterms:W3CDTF">2018-02-22T08:47:00Z</dcterms:modified>
</cp:coreProperties>
</file>